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</w:r>
    </w:p>
    <w:p>
      <w:pPr>
        <w:pStyle w:val="style0"/>
        <w:ind w:hanging="0" w:left="0" w:right="19"/>
      </w:pPr>
      <w:r>
        <w:rPr>
          <w:lang w:val="uk-UA"/>
        </w:rPr>
        <w:t xml:space="preserve">                                 </w:t>
        <w:drawing>
          <wp:anchor allowOverlap="1" behindDoc="0" distB="0" distL="0" distR="0" distT="0" layoutInCell="1" locked="0" relativeHeight="0" simplePos="0">
            <wp:simplePos x="0" y="0"/>
            <wp:positionH relativeFrom="character">
              <wp:posOffset>2819400</wp:posOffset>
            </wp:positionH>
            <wp:positionV relativeFrom="line">
              <wp:posOffset>0</wp:posOffset>
            </wp:positionV>
            <wp:extent cx="484505" cy="646430"/>
            <wp:effectExtent b="0" l="0" r="0" t="0"/>
            <wp:wrapSquare wrapText="largest"/>
            <wp:docPr descr="" id="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64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  <w:ind w:hanging="0" w:left="0" w:right="19"/>
      </w:pPr>
      <w:r>
        <w:rPr/>
      </w:r>
    </w:p>
    <w:p>
      <w:pPr>
        <w:pStyle w:val="style0"/>
        <w:ind w:hanging="0" w:left="0" w:right="19"/>
      </w:pPr>
      <w:r>
        <w:rPr/>
      </w:r>
    </w:p>
    <w:p>
      <w:pPr>
        <w:pStyle w:val="style0"/>
        <w:ind w:hanging="0" w:left="0" w:right="19"/>
      </w:pPr>
      <w:r>
        <w:rPr/>
      </w:r>
    </w:p>
    <w:p>
      <w:pPr>
        <w:pStyle w:val="style0"/>
        <w:shd w:fill="FFFFFF" w:val="clear"/>
      </w:pPr>
      <w:r>
        <w:rPr>
          <w:lang w:val="uk-UA"/>
        </w:rPr>
        <w:t xml:space="preserve">                                                                      </w:t>
      </w:r>
      <w:r>
        <w:rPr>
          <w:rFonts w:ascii="Academy" w:hAnsi="Academy"/>
          <w:b/>
          <w:color w:val="000000"/>
          <w:spacing w:val="-1"/>
          <w:sz w:val="26"/>
          <w:szCs w:val="26"/>
          <w:lang w:val="uk-UA"/>
        </w:rPr>
        <w:t>УКРА</w:t>
      </w:r>
      <w:r>
        <w:rPr>
          <w:b/>
          <w:color w:val="000000"/>
          <w:spacing w:val="-1"/>
          <w:sz w:val="26"/>
          <w:szCs w:val="26"/>
          <w:lang w:val="uk-UA"/>
        </w:rPr>
        <w:t>Ї</w:t>
      </w:r>
      <w:r>
        <w:rPr>
          <w:rFonts w:ascii="Academy" w:hAnsi="Academy"/>
          <w:b/>
          <w:color w:val="000000"/>
          <w:spacing w:val="-1"/>
          <w:sz w:val="26"/>
          <w:szCs w:val="26"/>
          <w:lang w:val="uk-UA"/>
        </w:rPr>
        <w:t>НА</w:t>
      </w:r>
    </w:p>
    <w:p>
      <w:pPr>
        <w:pStyle w:val="style0"/>
        <w:shd w:fill="FFFFFF" w:val="clear"/>
      </w:pPr>
      <w:r>
        <w:rPr/>
      </w:r>
    </w:p>
    <w:p>
      <w:pPr>
        <w:pStyle w:val="style0"/>
        <w:shd w:fill="FFFFFF" w:val="clear"/>
        <w:ind w:hanging="0" w:left="14" w:right="0"/>
        <w:jc w:val="center"/>
      </w:pPr>
      <w:r>
        <w:rPr>
          <w:rFonts w:ascii="Academy" w:hAnsi="Academy"/>
          <w:b/>
          <w:bCs/>
          <w:color w:val="000000"/>
          <w:spacing w:val="-13"/>
          <w:sz w:val="40"/>
          <w:szCs w:val="40"/>
          <w:lang w:val="uk-UA"/>
        </w:rPr>
        <w:t>РОЗПОРЯДЖЕННЯ</w:t>
      </w:r>
    </w:p>
    <w:p>
      <w:pPr>
        <w:pStyle w:val="style0"/>
        <w:shd w:fill="FFFFFF" w:val="clear"/>
      </w:pPr>
      <w:r>
        <w:rPr>
          <w:rFonts w:ascii="Academy" w:hAnsi="Academy"/>
          <w:b/>
          <w:bCs/>
          <w:color w:val="000000"/>
          <w:spacing w:val="-9"/>
          <w:sz w:val="28"/>
          <w:szCs w:val="28"/>
          <w:lang w:val="uk-UA"/>
        </w:rPr>
        <w:t>ГОЛОВИ УСТИН</w:t>
      </w:r>
      <w:r>
        <w:rPr>
          <w:b/>
          <w:bCs/>
          <w:color w:val="000000"/>
          <w:spacing w:val="-9"/>
          <w:sz w:val="28"/>
          <w:szCs w:val="28"/>
          <w:lang w:val="uk-UA"/>
        </w:rPr>
        <w:t>І</w:t>
      </w:r>
      <w:r>
        <w:rPr>
          <w:rFonts w:ascii="Academy" w:hAnsi="Academy"/>
          <w:b/>
          <w:bCs/>
          <w:color w:val="000000"/>
          <w:spacing w:val="-9"/>
          <w:sz w:val="28"/>
          <w:szCs w:val="28"/>
          <w:lang w:val="uk-UA"/>
        </w:rPr>
        <w:t>ВСЬКО</w:t>
      </w:r>
      <w:r>
        <w:rPr>
          <w:b/>
          <w:bCs/>
          <w:color w:val="000000"/>
          <w:spacing w:val="-9"/>
          <w:sz w:val="28"/>
          <w:szCs w:val="28"/>
          <w:lang w:val="uk-UA"/>
        </w:rPr>
        <w:t>Ї</w:t>
      </w:r>
      <w:r>
        <w:rPr>
          <w:rFonts w:ascii="Academy" w:hAnsi="Academy"/>
          <w:b/>
          <w:bCs/>
          <w:color w:val="000000"/>
          <w:spacing w:val="-9"/>
          <w:sz w:val="28"/>
          <w:szCs w:val="28"/>
          <w:lang w:val="uk-UA"/>
        </w:rPr>
        <w:t xml:space="preserve"> РАЙОННО</w:t>
      </w:r>
      <w:r>
        <w:rPr>
          <w:b/>
          <w:bCs/>
          <w:color w:val="000000"/>
          <w:spacing w:val="-9"/>
          <w:sz w:val="28"/>
          <w:szCs w:val="28"/>
          <w:lang w:val="uk-UA"/>
        </w:rPr>
        <w:t>Ї</w:t>
      </w:r>
      <w:r>
        <w:rPr>
          <w:rFonts w:ascii="Academy" w:hAnsi="Academy"/>
          <w:b/>
          <w:bCs/>
          <w:color w:val="000000"/>
          <w:spacing w:val="-9"/>
          <w:sz w:val="28"/>
          <w:szCs w:val="28"/>
          <w:lang w:val="uk-UA"/>
        </w:rPr>
        <w:t xml:space="preserve"> ДЕРЖАВНО</w:t>
      </w:r>
      <w:r>
        <w:rPr>
          <w:b/>
          <w:bCs/>
          <w:color w:val="000000"/>
          <w:spacing w:val="-9"/>
          <w:sz w:val="28"/>
          <w:szCs w:val="28"/>
          <w:lang w:val="uk-UA"/>
        </w:rPr>
        <w:t>Ї</w:t>
      </w:r>
      <w:r>
        <w:rPr>
          <w:rFonts w:ascii="Academy" w:hAnsi="Academy"/>
          <w:b/>
          <w:bCs/>
          <w:color w:val="000000"/>
          <w:spacing w:val="-9"/>
          <w:sz w:val="28"/>
          <w:szCs w:val="28"/>
          <w:lang w:val="uk-UA"/>
        </w:rPr>
        <w:t xml:space="preserve"> АДМ</w:t>
      </w:r>
      <w:r>
        <w:rPr>
          <w:b/>
          <w:bCs/>
          <w:color w:val="000000"/>
          <w:spacing w:val="-9"/>
          <w:sz w:val="28"/>
          <w:szCs w:val="28"/>
          <w:lang w:val="uk-UA"/>
        </w:rPr>
        <w:t>І</w:t>
      </w:r>
      <w:r>
        <w:rPr>
          <w:rFonts w:ascii="Academy" w:hAnsi="Academy"/>
          <w:b/>
          <w:bCs/>
          <w:color w:val="000000"/>
          <w:spacing w:val="-9"/>
          <w:sz w:val="28"/>
          <w:szCs w:val="28"/>
          <w:lang w:val="uk-UA"/>
        </w:rPr>
        <w:t>Н</w:t>
      </w:r>
      <w:r>
        <w:rPr>
          <w:b/>
          <w:bCs/>
          <w:color w:val="000000"/>
          <w:spacing w:val="-9"/>
          <w:sz w:val="28"/>
          <w:szCs w:val="28"/>
          <w:lang w:val="uk-UA"/>
        </w:rPr>
        <w:t>І</w:t>
      </w:r>
      <w:r>
        <w:rPr>
          <w:rFonts w:ascii="Academy" w:hAnsi="Academy"/>
          <w:b/>
          <w:bCs/>
          <w:color w:val="000000"/>
          <w:spacing w:val="-9"/>
          <w:sz w:val="28"/>
          <w:szCs w:val="28"/>
          <w:lang w:val="uk-UA"/>
        </w:rPr>
        <w:t>СТРАЦ</w:t>
      </w:r>
      <w:r>
        <w:rPr>
          <w:b/>
          <w:bCs/>
          <w:color w:val="000000"/>
          <w:spacing w:val="-9"/>
          <w:sz w:val="28"/>
          <w:szCs w:val="28"/>
          <w:lang w:val="uk-UA"/>
        </w:rPr>
        <w:t>ІЇ</w:t>
      </w:r>
    </w:p>
    <w:p>
      <w:pPr>
        <w:pStyle w:val="style0"/>
        <w:shd w:fill="FFFFFF" w:val="clear"/>
        <w:ind w:hanging="0" w:left="0" w:right="2"/>
        <w:jc w:val="center"/>
      </w:pPr>
      <w:r>
        <w:rPr>
          <w:rFonts w:ascii="Academy" w:hAnsi="Academy"/>
          <w:b/>
          <w:bCs/>
          <w:color w:val="000000"/>
          <w:spacing w:val="-10"/>
          <w:sz w:val="28"/>
          <w:szCs w:val="28"/>
          <w:lang w:val="uk-UA"/>
        </w:rPr>
        <w:t>К</w:t>
      </w:r>
      <w:r>
        <w:rPr>
          <w:b/>
          <w:bCs/>
          <w:color w:val="000000"/>
          <w:spacing w:val="-10"/>
          <w:sz w:val="28"/>
          <w:szCs w:val="28"/>
          <w:lang w:val="uk-UA"/>
        </w:rPr>
        <w:t>І</w:t>
      </w:r>
      <w:r>
        <w:rPr>
          <w:rFonts w:ascii="Academy" w:hAnsi="Academy"/>
          <w:b/>
          <w:bCs/>
          <w:color w:val="000000"/>
          <w:spacing w:val="-10"/>
          <w:sz w:val="28"/>
          <w:szCs w:val="28"/>
          <w:lang w:val="uk-UA"/>
        </w:rPr>
        <w:t>РОВОГРАДСЬКО</w:t>
      </w:r>
      <w:r>
        <w:rPr>
          <w:b/>
          <w:bCs/>
          <w:color w:val="000000"/>
          <w:spacing w:val="-10"/>
          <w:sz w:val="28"/>
          <w:szCs w:val="28"/>
          <w:lang w:val="uk-UA"/>
        </w:rPr>
        <w:t>Ї</w:t>
      </w:r>
      <w:r>
        <w:rPr>
          <w:rFonts w:ascii="Academy" w:hAnsi="Academy"/>
          <w:b/>
          <w:bCs/>
          <w:color w:val="000000"/>
          <w:spacing w:val="-10"/>
          <w:sz w:val="28"/>
          <w:szCs w:val="28"/>
          <w:lang w:val="uk-UA"/>
        </w:rPr>
        <w:t xml:space="preserve"> ОБЛАСТ</w:t>
      </w:r>
      <w:r>
        <w:rPr>
          <w:b/>
          <w:bCs/>
          <w:color w:val="000000"/>
          <w:spacing w:val="-10"/>
          <w:sz w:val="28"/>
          <w:szCs w:val="28"/>
          <w:lang w:val="uk-UA"/>
        </w:rPr>
        <w:t>І</w:t>
      </w:r>
    </w:p>
    <w:p>
      <w:pPr>
        <w:pStyle w:val="style0"/>
        <w:shd w:fill="FFFFFF" w:val="clear"/>
        <w:ind w:hanging="0" w:left="0" w:right="2"/>
        <w:jc w:val="center"/>
      </w:pPr>
      <w:r>
        <w:rPr/>
      </w:r>
    </w:p>
    <w:p>
      <w:pPr>
        <w:pStyle w:val="style0"/>
        <w:shd w:fill="FFFFFF" w:val="clear"/>
        <w:tabs>
          <w:tab w:leader="underscore" w:pos="2010" w:val="left"/>
          <w:tab w:leader="underscore" w:pos="3686" w:val="left"/>
          <w:tab w:leader="none" w:pos="9009" w:val="left"/>
          <w:tab w:leader="underscore" w:pos="10166" w:val="left"/>
        </w:tabs>
        <w:ind w:hanging="0" w:left="374" w:right="0"/>
        <w:jc w:val="center"/>
      </w:pPr>
      <w:r>
        <w:rPr>
          <w:color w:val="000000"/>
          <w:spacing w:val="-5"/>
          <w:sz w:val="28"/>
          <w:szCs w:val="28"/>
          <w:lang w:val="uk-UA"/>
        </w:rPr>
        <w:t>від "</w:t>
      </w:r>
      <w:r>
        <w:rPr>
          <w:color w:val="000000"/>
          <w:sz w:val="28"/>
          <w:szCs w:val="28"/>
          <w:lang w:val="uk-UA"/>
        </w:rPr>
        <w:tab/>
        <w:t xml:space="preserve">" _______ </w:t>
      </w:r>
      <w:r>
        <w:rPr>
          <w:color w:val="000000"/>
          <w:spacing w:val="13"/>
          <w:sz w:val="28"/>
          <w:szCs w:val="28"/>
          <w:lang w:val="uk-UA"/>
        </w:rPr>
        <w:t>2016 року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№____ -р</w:t>
      </w:r>
    </w:p>
    <w:p>
      <w:pPr>
        <w:pStyle w:val="style0"/>
        <w:shd w:fill="FFFFFF" w:val="clear"/>
        <w:ind w:hanging="0" w:left="10" w:right="0"/>
        <w:jc w:val="center"/>
      </w:pPr>
      <w:r>
        <w:rPr>
          <w:color w:val="000000"/>
          <w:spacing w:val="-6"/>
          <w:sz w:val="28"/>
          <w:szCs w:val="28"/>
          <w:lang w:val="uk-UA"/>
        </w:rPr>
        <w:t>смт Устинівка</w:t>
      </w:r>
    </w:p>
    <w:p>
      <w:pPr>
        <w:pStyle w:val="style0"/>
        <w:ind w:hanging="0" w:left="0" w:right="98"/>
      </w:pPr>
      <w:r>
        <w:rPr/>
      </w:r>
    </w:p>
    <w:p>
      <w:pPr>
        <w:pStyle w:val="style0"/>
        <w:ind w:hanging="0" w:left="0" w:right="98"/>
      </w:pPr>
      <w:r>
        <w:rPr>
          <w:sz w:val="28"/>
          <w:szCs w:val="28"/>
          <w:lang w:val="uk-UA"/>
        </w:rPr>
        <w:t>Про внесення змін до розпорядження</w:t>
      </w:r>
    </w:p>
    <w:p>
      <w:pPr>
        <w:pStyle w:val="style0"/>
        <w:ind w:hanging="0" w:left="0" w:right="98"/>
      </w:pPr>
      <w:r>
        <w:rPr>
          <w:sz w:val="28"/>
          <w:szCs w:val="28"/>
          <w:lang w:val="uk-UA"/>
        </w:rPr>
        <w:t xml:space="preserve">голови районної державної адміністрації </w:t>
      </w:r>
    </w:p>
    <w:p>
      <w:pPr>
        <w:pStyle w:val="style0"/>
        <w:ind w:hanging="0" w:left="0" w:right="98"/>
      </w:pPr>
      <w:r>
        <w:rPr>
          <w:sz w:val="28"/>
          <w:szCs w:val="28"/>
          <w:lang w:val="uk-UA"/>
        </w:rPr>
        <w:t>від 15 вересня 2014 року № 163-р</w:t>
      </w:r>
    </w:p>
    <w:p>
      <w:pPr>
        <w:pStyle w:val="style0"/>
        <w:tabs>
          <w:tab w:leader="none" w:pos="1080" w:val="left"/>
        </w:tabs>
        <w:ind w:hanging="0" w:left="0" w:right="98"/>
        <w:jc w:val="both"/>
      </w:pPr>
      <w:r>
        <w:rPr/>
      </w:r>
    </w:p>
    <w:p>
      <w:pPr>
        <w:pStyle w:val="style0"/>
        <w:tabs>
          <w:tab w:leader="none" w:pos="1080" w:val="left"/>
        </w:tabs>
        <w:ind w:firstLine="720" w:left="0" w:right="98"/>
        <w:jc w:val="both"/>
      </w:pPr>
      <w:r>
        <w:rPr>
          <w:sz w:val="28"/>
          <w:szCs w:val="28"/>
          <w:lang w:val="uk-UA"/>
        </w:rPr>
        <w:t>Відповідно до ст.ст. 16, 28 Закону України «Про місцеві державні адміністрації», законів України «Про адміністративні послуги», «Про засади державної регуляторної політики у сфері господарської діяльності», розпорядження Кабінету Міністрів України від 16 травня 2014 року № 523-р «Деякі питання надання адміністративних послуг органів виконавчої влади через центри надання адміністративних послуг» та з метою упорядкування переліку адміністративних послуг, які надаються через Центр надання адміністративних послуг Устинівської райдержадміністрації:</w:t>
      </w:r>
    </w:p>
    <w:p>
      <w:pPr>
        <w:pStyle w:val="style0"/>
        <w:tabs>
          <w:tab w:leader="none" w:pos="1080" w:val="left"/>
        </w:tabs>
        <w:ind w:firstLine="720" w:left="0" w:right="98"/>
        <w:jc w:val="both"/>
      </w:pPr>
      <w:r>
        <w:rPr/>
      </w:r>
    </w:p>
    <w:p>
      <w:pPr>
        <w:pStyle w:val="style0"/>
        <w:tabs>
          <w:tab w:leader="none" w:pos="1080" w:val="left"/>
        </w:tabs>
        <w:ind w:firstLine="720" w:left="0" w:right="98"/>
        <w:jc w:val="both"/>
      </w:pPr>
      <w:r>
        <w:rPr>
          <w:sz w:val="28"/>
          <w:szCs w:val="28"/>
          <w:lang w:val="uk-UA"/>
        </w:rPr>
        <w:t>1.</w:t>
        <w:tab/>
        <w:t>Затвердити Перелік адміністративних послуг, які надаються через Центр надання адміністративних послуг Устинівської районної державної адміністрації (додається).</w:t>
      </w:r>
    </w:p>
    <w:p>
      <w:pPr>
        <w:pStyle w:val="style0"/>
        <w:tabs>
          <w:tab w:leader="none" w:pos="1080" w:val="left"/>
        </w:tabs>
        <w:ind w:firstLine="720" w:left="0" w:right="98"/>
        <w:jc w:val="both"/>
      </w:pPr>
      <w:r>
        <w:rPr/>
      </w:r>
    </w:p>
    <w:p>
      <w:pPr>
        <w:pStyle w:val="style0"/>
        <w:tabs>
          <w:tab w:leader="none" w:pos="1134" w:val="left"/>
        </w:tabs>
        <w:ind w:firstLine="709" w:left="0" w:right="98"/>
        <w:jc w:val="both"/>
      </w:pPr>
      <w:r>
        <w:rPr>
          <w:sz w:val="28"/>
          <w:szCs w:val="28"/>
          <w:lang w:val="uk-UA"/>
        </w:rPr>
        <w:t>2.</w:t>
        <w:tab/>
        <w:t>Визнати таким, що втратило чинність розпорядження голови районної державної адміністрації від 15 вересня 2014 року № 163-р «Про затвердження переліку надання адміністративних послуг органів виконавчої влади, які надаються через центр надання адміністративних послуг при Устинівській районній державній адміністрації».</w:t>
      </w:r>
    </w:p>
    <w:p>
      <w:pPr>
        <w:pStyle w:val="style0"/>
        <w:tabs>
          <w:tab w:leader="none" w:pos="1080" w:val="left"/>
        </w:tabs>
        <w:ind w:firstLine="720" w:left="0" w:right="98"/>
        <w:jc w:val="both"/>
      </w:pPr>
      <w:r>
        <w:rPr/>
      </w:r>
    </w:p>
    <w:p>
      <w:pPr>
        <w:pStyle w:val="style0"/>
        <w:jc w:val="both"/>
      </w:pPr>
      <w:r>
        <w:rPr>
          <w:sz w:val="28"/>
          <w:szCs w:val="28"/>
          <w:lang w:val="uk-UA"/>
        </w:rPr>
        <w:t>3. Контроль за виконанням даного розпорядження залишаю за собою</w:t>
      </w:r>
    </w:p>
    <w:p>
      <w:pPr>
        <w:pStyle w:val="style0"/>
        <w:shd w:fill="FFFFFF" w:val="clear"/>
      </w:pPr>
      <w:r>
        <w:rPr/>
      </w:r>
    </w:p>
    <w:p>
      <w:pPr>
        <w:pStyle w:val="style0"/>
        <w:shd w:fill="FFFFFF" w:val="clear"/>
      </w:pPr>
      <w:r>
        <w:rPr/>
      </w:r>
    </w:p>
    <w:p>
      <w:pPr>
        <w:pStyle w:val="style0"/>
        <w:shd w:fill="FFFFFF" w:val="clear"/>
      </w:pPr>
      <w:r>
        <w:rPr/>
      </w:r>
    </w:p>
    <w:p>
      <w:pPr>
        <w:pStyle w:val="style0"/>
        <w:shd w:fill="FFFFFF" w:val="clear"/>
      </w:pPr>
      <w:r>
        <w:rPr>
          <w:b/>
          <w:color w:val="000000"/>
          <w:spacing w:val="-6"/>
          <w:sz w:val="28"/>
          <w:szCs w:val="28"/>
          <w:lang w:val="uk-UA"/>
        </w:rPr>
        <w:t xml:space="preserve">Перший заступник голови </w:t>
      </w:r>
    </w:p>
    <w:p>
      <w:pPr>
        <w:pStyle w:val="style0"/>
        <w:shd w:fill="FFFFFF" w:val="clear"/>
      </w:pPr>
      <w:r>
        <w:rPr>
          <w:b/>
          <w:color w:val="000000"/>
          <w:spacing w:val="-6"/>
          <w:sz w:val="28"/>
          <w:szCs w:val="28"/>
          <w:lang w:val="uk-UA"/>
        </w:rPr>
        <w:t xml:space="preserve">районної державної адміністрації  </w:t>
        <w:tab/>
        <w:t xml:space="preserve">                                                 М.ЯВОРСЬКИЙ</w:t>
      </w:r>
    </w:p>
    <w:p>
      <w:pPr>
        <w:sectPr>
          <w:type w:val="nextPage"/>
          <w:pgSz w:h="16838" w:w="11906"/>
          <w:pgMar w:bottom="567" w:footer="0" w:gutter="0" w:header="0" w:left="1701" w:right="567" w:top="766"/>
          <w:pgNumType w:fmt="decimal"/>
          <w:formProt w:val="false"/>
          <w:titlePg/>
          <w:textDirection w:val="lrTb"/>
          <w:docGrid w:charSpace="0" w:linePitch="360" w:type="default"/>
        </w:sectPr>
        <w:pStyle w:val="style0"/>
        <w:jc w:val="center"/>
      </w:pPr>
      <w:r>
        <w:rPr/>
      </w:r>
    </w:p>
    <w:p>
      <w:pPr>
        <w:pStyle w:val="style0"/>
        <w:spacing w:line="360" w:lineRule="auto"/>
        <w:ind w:hanging="0" w:left="3969" w:right="0"/>
        <w:jc w:val="both"/>
      </w:pPr>
      <w:r>
        <w:rPr>
          <w:b/>
          <w:sz w:val="28"/>
          <w:szCs w:val="28"/>
          <w:lang w:val="uk-UA"/>
        </w:rPr>
        <w:t xml:space="preserve">                                            </w:t>
      </w:r>
      <w:r>
        <w:rPr>
          <w:b/>
          <w:sz w:val="28"/>
          <w:szCs w:val="28"/>
          <w:lang w:val="uk-UA"/>
        </w:rPr>
        <w:t>ЗАТВЕРДЖЕНО</w:t>
      </w:r>
    </w:p>
    <w:p>
      <w:pPr>
        <w:pStyle w:val="style0"/>
        <w:ind w:hanging="0" w:left="3969" w:right="0"/>
        <w:jc w:val="both"/>
      </w:pPr>
      <w:r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Розпорядженням голови Устинівської </w:t>
      </w:r>
    </w:p>
    <w:p>
      <w:pPr>
        <w:pStyle w:val="style0"/>
        <w:ind w:hanging="0" w:left="3969" w:right="0"/>
        <w:jc w:val="both"/>
      </w:pPr>
      <w:r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>районної державної адміністрації</w:t>
      </w:r>
    </w:p>
    <w:p>
      <w:pPr>
        <w:pStyle w:val="style0"/>
        <w:ind w:hanging="0" w:left="3969" w:right="0"/>
        <w:jc w:val="both"/>
      </w:pPr>
      <w:r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>___   _________   2016   №   _____</w:t>
      </w:r>
      <w:r>
        <w:rPr>
          <w:sz w:val="28"/>
          <w:szCs w:val="28"/>
          <w:u w:val="single"/>
          <w:lang w:val="uk-UA"/>
        </w:rPr>
        <w:t>-р</w:t>
      </w:r>
      <w:r>
        <w:rPr>
          <w:sz w:val="28"/>
          <w:szCs w:val="28"/>
          <w:lang w:val="uk-UA"/>
        </w:rPr>
        <w:t>_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>
          <w:b/>
          <w:sz w:val="28"/>
          <w:szCs w:val="28"/>
          <w:lang w:val="uk-UA"/>
        </w:rPr>
        <w:t>Перелік адміністративних послуг,</w:t>
      </w:r>
    </w:p>
    <w:p>
      <w:pPr>
        <w:pStyle w:val="style0"/>
        <w:jc w:val="center"/>
      </w:pPr>
      <w:r>
        <w:rPr>
          <w:b/>
          <w:sz w:val="28"/>
          <w:szCs w:val="28"/>
          <w:lang w:val="uk-UA"/>
        </w:rPr>
        <w:t>які надаються через Центр надання адміністративних послуг</w:t>
      </w:r>
    </w:p>
    <w:p>
      <w:pPr>
        <w:pStyle w:val="style0"/>
        <w:jc w:val="center"/>
      </w:pPr>
      <w:r>
        <w:rPr>
          <w:b/>
          <w:sz w:val="28"/>
          <w:szCs w:val="28"/>
          <w:lang w:val="uk-UA"/>
        </w:rPr>
        <w:t>Устинівської районної державної адміністрації</w:t>
      </w:r>
    </w:p>
    <w:p>
      <w:pPr>
        <w:pStyle w:val="style0"/>
      </w:pPr>
      <w:r>
        <w:rPr/>
      </w:r>
    </w:p>
    <w:p>
      <w:pPr>
        <w:pStyle w:val="style0"/>
        <w:jc w:val="center"/>
      </w:pPr>
      <w:r>
        <w:rPr>
          <w:b/>
          <w:sz w:val="28"/>
          <w:szCs w:val="28"/>
          <w:lang w:val="uk-UA"/>
        </w:rPr>
        <w:t xml:space="preserve">І. Перелік адміністративних послуг без урахування </w:t>
      </w:r>
    </w:p>
    <w:p>
      <w:pPr>
        <w:pStyle w:val="style0"/>
        <w:jc w:val="center"/>
      </w:pPr>
      <w:r>
        <w:rPr>
          <w:b/>
          <w:sz w:val="28"/>
          <w:szCs w:val="28"/>
          <w:lang w:val="uk-UA"/>
        </w:rPr>
        <w:t>документів дозвільного характеру у сфері господарської діяльності</w:t>
      </w:r>
    </w:p>
    <w:p>
      <w:pPr>
        <w:pStyle w:val="style0"/>
      </w:pPr>
      <w:r>
        <w:rPr/>
      </w:r>
    </w:p>
    <w:tbl>
      <w:tblPr>
        <w:jc w:val="left"/>
        <w:tblInd w:type="dxa" w:w="-216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</w:tblPr>
      <w:tblGrid>
        <w:gridCol w:w="592"/>
        <w:gridCol w:w="5760"/>
        <w:gridCol w:w="3287"/>
      </w:tblGrid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№ </w:t>
            </w:r>
            <w:r>
              <w:rPr>
                <w:rFonts w:eastAsia="Calibri"/>
                <w:sz w:val="28"/>
                <w:szCs w:val="28"/>
                <w:lang w:val="uk-UA"/>
              </w:rPr>
              <w:t>п/п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Найменування адміністративної послуги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Правові підстави для надання адміністративної послуги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-216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</w:tblPr>
      <w:tblGrid>
        <w:gridCol w:w="592"/>
        <w:gridCol w:w="5760"/>
        <w:gridCol w:w="3287"/>
      </w:tblGrid>
      <w:tr>
        <w:trPr>
          <w:tblHeader w:val="true"/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b/>
                <w:lang w:val="uk-UA"/>
              </w:rPr>
              <w:t>1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b/>
                <w:lang w:val="uk-UA"/>
              </w:rPr>
              <w:t>2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b/>
                <w:lang w:val="uk-UA"/>
              </w:rPr>
              <w:t>3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1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Державна реєстрації юридичної особи та фізичної особи, яка має намір стати підприємцем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державну реєстрацію юридичних осіб та фізичних осіб - підприємців»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2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Видача витягу, виписки, довідки з Єдиного державного реєстру юридичних осіб та фізичних осіб-підприємців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державну реєстрацію юридичних осіб та фізичних осіб»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3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Державна реєстрація змін до установчих документів юридичної особи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державну реєстрацію юридичних осіб та фізичних осіб»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4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Включення до Єдиного державного реєстру юридичних осіб та фізичних осіб-підприємців відомостей про створення відокремленого підрозділу юридичної особи або його закриття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Закон України «Про державну реєстрацію юридичних осіб та фізичних осі» 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5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Державна реєстрація змін до відомостей про фізичну особу-підприємця, які містяться в Єдиному державному реєстрі юридичних осіб та фізичних осіб-підприємців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державну реєстрацію юридичних осіб та фізичних осіб»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6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Видача юридичним особам дублікатів оригіналів їх установчих документів та змін до них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Закон України «Про державну реєстрацію юридичних осіб та фізичних осіб» 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7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Державна реєстрація припинення юридичної особи в результаті її ліквідації, злиття, приєднання, поділу або перетворення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державну реєстрацію юридичних осіб та фізичних осіб»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8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Державна реєстрація припинення підприємницької діяльності фізичною особою-підприємцем за її рішенням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державну реєстрацію юридичних осіб та фізичних осіб»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9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eastAsia="Calibri"/>
                <w:sz w:val="28"/>
                <w:szCs w:val="28"/>
                <w:lang w:val="uk-UA"/>
              </w:rPr>
              <w:t>Державна реєстрація:</w:t>
            </w:r>
          </w:p>
          <w:p>
            <w:pPr>
              <w:pStyle w:val="style0"/>
              <w:jc w:val="both"/>
            </w:pPr>
            <w:r>
              <w:rPr>
                <w:rFonts w:eastAsia="Calibri"/>
                <w:sz w:val="28"/>
                <w:szCs w:val="28"/>
                <w:lang w:val="uk-UA"/>
              </w:rPr>
              <w:t>права власності на нерухоме майно;</w:t>
            </w:r>
          </w:p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інших речових прав на нерухоме майно (крім державної реєстрації іпотеки нерухомого майна)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10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Видача витягу, інформаційної довідки та виписки з Державного реєстру речових прав на нерухоме майно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11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Реєстрація громадського об’єднання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громадські об’єднання»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12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Прийняття повідомлення про утворення громадського об’єднання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громадські об’єднання»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13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Видача дубліката оригіналу свідоцтва про реєстрацію громадського об’єднання та/або статуту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громадські об’єднання»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14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Внесення до Реєстру громадських об’єднань відомостей про відокремлений підрозділ громадського об’єднання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громадські об’єднання»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15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Прийняття повідомлення про зміни до статуту громадського об’єднання, зміни у складі керівних органів громадського об’єднання , зміну особи (осіб), уповноваженої представляти громадське об’єднання, зміну місцезнаходження зареєстрованого громадського об’єднання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громадські об’єднання»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16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Прийняття повідомлення про зміну найменування громадського об’єднання, мети( цілей), зміну особи (осіб), уповноваженої представляти громадське об’єднання, утворене шляхом прийняття повідомлення про утворення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громадські об’єднання»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17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Внесення до Реєстру громадських об’єднань запису про рішення щодо саморозпуску або реорганізації громадського об’єднання, а також про припинення діяльності громадського об’єднання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громадські об’єднання»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18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Державна реєстрація друкованого засобу масової інформації з місцевою сферою розповсюдження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 «Про друковані засоби масової інформації (пресу) в Україні»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19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Перереєстрація друкованого засобу масової інформації з місцевою сферою розповсюдження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 «Про друковані засоби масової інформації (пресу) в Україні»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20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Видача дубліката свідоцтва про державну реєстрацію друкованого засобу масової інформації з місцевою сферою розповсюдження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 «Про друковані засоби масової інформації (пресу) в Україні»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21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Визнання недійсним свідоцтва про державну реєстрацію друкованого засобу масової інформації з місцевою сферою розповсюдження на підставі повідомлення засновника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 «Про друковані засоби масової інформації (пресу) в Україні»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22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Оформлення та видача або обмін паспорта громадянина України для виїзду за кордон (у тому числі термінове оформлення)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порядок виїзду з України і в’їзду в Україну громадян України»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23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Оформлення та видача проїзного документа дитини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порядок виїзду з України і в’їзду в Україну громадян України»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24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Оформлення та видача паспорта громадянина України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Єдиний державний демографічний реєстр та документи, що підтверджують громадянство України, посвідчують особу чи її спеціальний статус»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25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Оформлення та видача паспорта громадянина України у разі обміну замість пошкодженого, втраченого або викраденого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Єдиний державний демографічний реєстр та документи, що підтверджують громадянство України, посвідчують особу чи її спеціальний статус»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26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Вклеювання до паспорта громадянина України фотокартки при досягненні громадянином 25- і 45- річного віку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Постанова Верховної Ради України від              26 червня 1992 року          № 2503- ХІІ «Про затвердження положень про паспорт громадянина України та про паспорт громадянина України для виїзду за кордон»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27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Реєстрація місця проживання особи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свободу пересування та вільний вибір місця проживання в Україні»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28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Зняття з реєстрації місця проживання особи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свободу пересування та вільний вибір місця проживання в Україні»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29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Реєстрація місця перебування особи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свободу пересування та вільний вибір місця проживання в Україні»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30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Оформлення та видача довідки про реєстрацію місця проживання або місця перебування особи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свободу пересування та вільний вибір місця проживання в Україні»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31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Державна реєстрація земельної ділянки з видачею витягу з Державного земельного кадастру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Державний земельний кадастр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32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Внесення до Державного земельного кадастру відомостей ( змін до них) про земельну ділянку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Державний земельний кадастр»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33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Внесення до Державного земельного кадастру відомостей про межі частини земельної ділянки, на яку поширюються права суборенди, сервітуту, з видачею витягу</w:t>
            </w:r>
          </w:p>
          <w:p>
            <w:pPr>
              <w:pStyle w:val="style0"/>
            </w:pPr>
            <w:r>
              <w:rPr/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Державний земельний кадастр»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34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Внесення до Державного земельного  кадастру відомостей (змін до них) про землі в межах територій адміністративно-територіальних одиниць з видачею витягу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Державний земельний кадастр»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35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Державна реєстрація обмежень у використанні земель з видачею витягу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Державний земельний кадастр»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36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Внесення до Державного земельного кадастру відомостей про обмеження у використанні земель, встановлені законами та прийнятими відповідно до них нормативно-правовими актами, з видачею витягу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Державний земельний кадастр»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37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Виправлення технічної помилки у відомостях з Державного земельного кадастру, допущеної органом, що здійснює його ведення з видачею витягу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Державний земельний кадастр»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38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eastAsia="Calibri"/>
                <w:sz w:val="28"/>
                <w:szCs w:val="28"/>
                <w:lang w:val="uk-UA"/>
              </w:rPr>
              <w:t>Надання відомостей з Державного земельного кадастру у формі:</w:t>
            </w:r>
          </w:p>
          <w:p>
            <w:pPr>
              <w:pStyle w:val="style0"/>
              <w:jc w:val="both"/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1)витягу з Державного земельного кадастру про: </w:t>
            </w:r>
          </w:p>
          <w:p>
            <w:pPr>
              <w:pStyle w:val="style0"/>
              <w:jc w:val="both"/>
            </w:pPr>
            <w:r>
              <w:rPr>
                <w:rFonts w:eastAsia="Calibri"/>
                <w:sz w:val="28"/>
                <w:szCs w:val="28"/>
                <w:lang w:val="uk-UA"/>
              </w:rPr>
              <w:t>землі в межах території адміністративно-територіальних одиниць,</w:t>
            </w:r>
          </w:p>
          <w:p>
            <w:pPr>
              <w:pStyle w:val="style0"/>
              <w:jc w:val="both"/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обмеження у використанні земель, </w:t>
            </w:r>
          </w:p>
          <w:p>
            <w:pPr>
              <w:pStyle w:val="style0"/>
              <w:jc w:val="both"/>
            </w:pPr>
            <w:r>
              <w:rPr>
                <w:rFonts w:eastAsia="Calibri"/>
                <w:sz w:val="28"/>
                <w:szCs w:val="28"/>
                <w:lang w:val="uk-UA"/>
              </w:rPr>
              <w:t>земельну ділянку;</w:t>
            </w:r>
          </w:p>
          <w:p>
            <w:pPr>
              <w:pStyle w:val="style0"/>
              <w:jc w:val="both"/>
            </w:pPr>
            <w:r>
              <w:rPr>
                <w:rFonts w:eastAsia="Calibri"/>
                <w:sz w:val="28"/>
                <w:szCs w:val="28"/>
                <w:lang w:val="uk-UA"/>
              </w:rPr>
              <w:t>2)довідки, що містить узагальнену інформацію про землі (території);</w:t>
            </w:r>
          </w:p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3)викопіювань з кадастрової карти ( плану) та іншої картографічної документації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Державний земельний кадастр»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39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Видача довідки про: </w:t>
            </w:r>
          </w:p>
          <w:p>
            <w:pPr>
              <w:pStyle w:val="style0"/>
              <w:jc w:val="both"/>
            </w:pPr>
            <w:r>
              <w:rPr>
                <w:rFonts w:eastAsia="Calibri"/>
                <w:sz w:val="28"/>
                <w:szCs w:val="28"/>
                <w:lang w:val="uk-UA"/>
              </w:rPr>
              <w:t>1)наявність та розмір земельної частки(паю);</w:t>
            </w:r>
          </w:p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2)наявність у Державному земельному кадастрі відомостей про одержання у власність земельної ділянки  у межах норм безоплатної приватизації за певним видом її цільового  призначення (використання)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Земельний кодекс України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40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Видача відомостей з документації із землеустрою, що включена до Державного фонду документації із землеустрою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землеустрій»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41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Видача довідки з державної статистичної звітності про наявність земель та розподіл їх за власниками земель, землекористувачами, угіддями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землеустрій»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42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Видача витягу з Державного реєстру сертифікованих інженерів-землевпорядників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землеустрій»</w:t>
            </w:r>
          </w:p>
          <w:p>
            <w:pPr>
              <w:pStyle w:val="style0"/>
            </w:pPr>
            <w:r>
              <w:rPr/>
            </w:r>
          </w:p>
          <w:p>
            <w:pPr>
              <w:pStyle w:val="style0"/>
            </w:pPr>
            <w:r>
              <w:rPr/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43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Видача витягу з технічної документації про нормативну грошову оцінку земельної ділянки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оцінку земель»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44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Видача витягу з Державного реєстру сертифікованих інженерів-геодезистів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топографо-геодезичну і картографічну діяльність»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45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Видача фізичним особам висновку державної санітарно-епідеміологічної експертизи діючих об’єктів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забезпечення санітарного та епідемічного благополуччя населення»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46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Встановлення опіки/піклування над дітьми-сиротами та дітьми, позбавленими батьківського піклування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Сімейний кодекс України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47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Надання дозволу на вчинення правочинів нерухомого майна, яке належить дітям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охорону дитинства»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48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Надання будівельного паспорта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регулювання містобудівної діяльності»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49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Надання містобудівних умов на забудову земельної ділянки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регулювання містобудівної діяльності»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50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Надання паспорта прив’язки тимчасової споруди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регулювання містобудівної діяльності»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51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Прийняття рішення щодо передачі земельних ділянок сільськогосподарського призначення державної власності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Земельний кодекс України</w:t>
            </w:r>
          </w:p>
        </w:tc>
      </w:tr>
    </w:tbl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  <w:jc w:val="center"/>
      </w:pPr>
      <w:r>
        <w:rPr>
          <w:b/>
          <w:sz w:val="28"/>
          <w:szCs w:val="28"/>
          <w:lang w:val="uk-UA"/>
        </w:rPr>
        <w:t>ІІ. Видача (переоформлення, видача дублікатів, анулювання) документів дозвільного характеру у сфері господарської діяльності</w:t>
      </w:r>
    </w:p>
    <w:p>
      <w:pPr>
        <w:pStyle w:val="style0"/>
      </w:pPr>
      <w:r>
        <w:rPr/>
      </w:r>
    </w:p>
    <w:tbl>
      <w:tblPr>
        <w:jc w:val="left"/>
        <w:tblInd w:type="dxa" w:w="-216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</w:tblPr>
      <w:tblGrid>
        <w:gridCol w:w="592"/>
        <w:gridCol w:w="5760"/>
        <w:gridCol w:w="3287"/>
      </w:tblGrid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№ </w:t>
            </w:r>
            <w:r>
              <w:rPr>
                <w:rFonts w:eastAsia="Calibri"/>
                <w:sz w:val="28"/>
                <w:szCs w:val="28"/>
                <w:lang w:val="uk-UA"/>
              </w:rPr>
              <w:t>п/п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Найменування адміністративної послуги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Правові підстави для надання адміністративної послуги</w:t>
            </w:r>
          </w:p>
        </w:tc>
      </w:tr>
    </w:tbl>
    <w:p>
      <w:pPr>
        <w:pStyle w:val="style0"/>
      </w:pPr>
      <w:r>
        <w:rPr/>
      </w:r>
    </w:p>
    <w:tbl>
      <w:tblPr>
        <w:jc w:val="left"/>
        <w:tblInd w:type="dxa" w:w="-216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</w:tblBorders>
      </w:tblPr>
      <w:tblGrid>
        <w:gridCol w:w="592"/>
        <w:gridCol w:w="5760"/>
        <w:gridCol w:w="3287"/>
      </w:tblGrid>
      <w:tr>
        <w:trPr>
          <w:tblHeader w:val="true"/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>3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52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Затвердження проекту землеустрою щодо надання земельної ділянки у власність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Земельний кодекс України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53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Рішення про передачу у власність, надання у постійне користування та оренду земельних ділянок, що перебувають у державній або комунальній власності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Земельний кодекс України 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54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Дозвіл на розміщення зовнішньої реклами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рекламу»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55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Дозвіл на порушення об’єктів благоустрою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благоустрій населених пунктів»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56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Реєстрація декларації відповідності матеріально-технічної бази суб’єкта господарювання вимогам законодавства з питань пожежної безпеки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Кодекс цивільного захисту України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57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Висновок державної санітарно-епідеміологічної експертизи документації на розроблювальні техніку, технологію, устаткування, інструменти тощо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забезпечення санітарного та епідемічного благополуччя населення»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58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Висновок державної санітарно-епідеміологічної експертизи щодо ввезення, реалізації та використання сировини, продукції (вироби, обладнання, технологічні лінії тощо) іноземного виробництва за умови відсутності даних щодо їх безпечності для здоров’я населення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забезпечення санітарного та епідемічного благополуччя населення»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59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Висновок державної санітарно-епідеміологічної експертизи щодо продукції, напівфабрикатів, речовин, матеріалів та небезпечних факторів, використання, передача або збут яких може завдавати шкоди здоров’ю людей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забезпечення санітарного та епідемічного благополуччя населення»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60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Експлуатаційний дозвіл операторам потужностей (об’єктів) що здійснюють в Україні діяльність з виробництва та /або обігу харчових продуктів, підконтрольних санітарній службі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безпечність та якість харчових продуктів»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61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Висновок державної санітарно-епідеміологічної експертизи діючих об</w:t>
            </w:r>
            <w:r>
              <w:rPr>
                <w:rFonts w:eastAsia="Calibri"/>
                <w:sz w:val="28"/>
                <w:szCs w:val="28"/>
              </w:rPr>
              <w:t>’</w:t>
            </w:r>
            <w:r>
              <w:rPr>
                <w:rFonts w:eastAsia="Calibri"/>
                <w:sz w:val="28"/>
                <w:szCs w:val="28"/>
                <w:lang w:val="uk-UA"/>
              </w:rPr>
              <w:t>єктів, у тому числі військового та оборонного призначення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забезпечення санітарного та епідемічного благополуччя населення»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62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Сертифікат про прийняття в експлуатацію  закінчених будівництвом об’єктів, що належать до І</w:t>
            </w:r>
            <w:r>
              <w:rPr>
                <w:rFonts w:eastAsia="Calibri"/>
                <w:sz w:val="28"/>
                <w:szCs w:val="28"/>
                <w:lang w:val="en-US"/>
              </w:rPr>
              <w:t>V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і  </w:t>
            </w:r>
            <w:r>
              <w:rPr>
                <w:rFonts w:eastAsia="Calibri"/>
                <w:sz w:val="28"/>
                <w:szCs w:val="28"/>
                <w:lang w:val="en-US"/>
              </w:rPr>
              <w:t>V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категорій складності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регулювання містобудівної діяльності»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63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Декларація про початок виконання підготовчих робіт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регулювання містобудівної діяльності»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64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Дозвіл на виконання будівельних робіт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регулювання містобудівної діяльності»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65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Декларація про початок будівельних робіт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регулювання містобудівної діяльності»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66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Декларація про готовність об’єкта до експлуатації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регулювання містобудівної діяльності»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67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Дозвіл на зняття та перенесення ґрунтового покриву земельних ділянок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охорону земель»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68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Дозвіл на початок виконання робіт підвищеної небезпеки та початок експлуатації (застосування) машин, механізмів, устаткування підвищеної небезпеки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Постанова Кабінету Міністрів України від 15.10.2011 року № 1107 про затвердження Порядку видачі дозволів на виконання робіт підвищеної небезпеки та на експлуатацію (застосування) машин, механізмів, устаткування підвищеної небезпеки»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69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Висновок державної екологічної експертизи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охорону навколишнього природного середовища»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70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Дозвіл на викиди забруднюючих речовин в атмосферне повітря стаціонарними джерелами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охорону навколишнього природного середовища»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71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Дозвіл на спеціальне водокористування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Водний кодекс України</w:t>
            </w:r>
          </w:p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72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Експлуатаційний дозвіл операторам потужностей (об’єктів), що здійснюють виробництво харчових продуктів, підконтрольних ветеринарній службі, та для агропродовольчих ринків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ветеринарну медицину»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73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Дозвіл на проведення заходів із залученням тварин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ветеринарну медицину»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74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Експлуатаційні дозволи для потужностей (об’єктів): з переробки неїстівних продуктів тваринного походження; з виробництва змішування та приготування кормових добавок, преміксів і кормів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ветеринарну медицину»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75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Дозвіл на участь у дорожньому русі транспортних засобів, вагові або габаритні параметри яких перевищують нормативні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дорожній рух»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76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Погодження маршрутів руху транспортних засобів під час дорожнього перевезення небезпечних вантажів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дорожній рух»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77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Погодження проектів щодо будівництва, реконструкції і ремонту автомобільних доріг, залізничних переїздів, комплексів дорожнього сервісу та інших споруд у межах смуги відведення автомобільних доріг або червоних ліній міських вулиць і доріг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дорожній рух»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78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Дозвіл на добування мисливських тварин (ліцензія, відстрільна картка)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Лісовий кодекс України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79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Спеціальний дозвіл на спеціальне використання лісових ресурсів (лісорубний квиток, ордер, лісовий квиток)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Лісовий кодекс України 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80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Дозвіл на спеціальне використання водних біоресурсів у рибогосподарських водних об’єктах (їх частинах)</w:t>
            </w:r>
          </w:p>
          <w:p>
            <w:pPr>
              <w:pStyle w:val="style0"/>
            </w:pPr>
            <w:r>
              <w:rPr/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рибне господарство, промислове рибальство та охорону водних біоресурсів»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81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Дозвіл на спеціальне використання водних біоресурсів за межами юрисдикції України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рибне господарство, промислове рибальство та охорону водних біоресурсів»</w:t>
            </w:r>
          </w:p>
          <w:p>
            <w:pPr>
              <w:pStyle w:val="style0"/>
            </w:pPr>
            <w:r>
              <w:rPr/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82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Дозвіл на імпорт та експорт зразків видів дикої фауни і флори, сертифікат на пересувні виставки, реекспорт та інтродукцію з моря зазначених зразків, які є об’єктами регулювання Конвенції про міжнародну торгівлю видами дикої фауни і флори, що перебувають під загрозою зникнення, в частині осетрових риб і виробленої з них продукції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рибне господарство, промислове рибальство та охорону водних біоресурсів»</w:t>
            </w:r>
          </w:p>
        </w:tc>
      </w:tr>
      <w:tr>
        <w:trPr>
          <w:cantSplit w:val="false"/>
        </w:trPr>
        <w:tc>
          <w:tcPr>
            <w:tcW w:type="dxa" w:w="59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rFonts w:eastAsia="Calibri"/>
                <w:sz w:val="28"/>
                <w:szCs w:val="28"/>
                <w:lang w:val="uk-UA"/>
              </w:rPr>
              <w:t>83</w:t>
            </w:r>
          </w:p>
        </w:tc>
        <w:tc>
          <w:tcPr>
            <w:tcW w:type="dxa" w:w="5760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Підтвердження законності вилучення водних біоресурсів з середовища їх існування та переробки продуктів лову ( у разі необхідності суб’єкту господарювання для здійснення зовнішньоторговельних операцій)</w:t>
            </w:r>
          </w:p>
        </w:tc>
        <w:tc>
          <w:tcPr>
            <w:tcW w:type="dxa" w:w="3287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rFonts w:eastAsia="Calibri"/>
                <w:sz w:val="28"/>
                <w:szCs w:val="28"/>
                <w:lang w:val="uk-UA"/>
              </w:rPr>
              <w:t>Закон України «Про рибне господарство, промислове рибальство та охорону водних біоресурсів»</w:t>
            </w:r>
          </w:p>
        </w:tc>
      </w:tr>
    </w:tbl>
    <w:p>
      <w:pPr>
        <w:pStyle w:val="style21"/>
        <w:ind w:hanging="0" w:left="0" w:right="21"/>
        <w:jc w:val="center"/>
      </w:pPr>
      <w:r>
        <w:rPr>
          <w:sz w:val="24"/>
          <w:szCs w:val="24"/>
          <w:lang w:val="uk-UA"/>
        </w:rPr>
        <w:t>____________________________________</w:t>
      </w:r>
    </w:p>
    <w:p>
      <w:pPr>
        <w:pStyle w:val="style0"/>
      </w:pPr>
      <w:r>
        <w:rPr/>
      </w:r>
    </w:p>
    <w:sectPr>
      <w:type w:val="nextPage"/>
      <w:pgSz w:h="16838" w:w="11906"/>
      <w:pgMar w:bottom="567" w:footer="0" w:gutter="0" w:header="0" w:left="1701" w:right="567" w:top="766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/>
      <w:suppressAutoHyphens w:val="true"/>
      <w:spacing w:after="0" w:before="0" w:line="100" w:lineRule="atLeast"/>
      <w:contextualSpacing w:val="false"/>
    </w:pPr>
    <w:rPr>
      <w:rFonts w:ascii="Times New Roman" w:cs="Times New Roman" w:eastAsia="Times New Roman" w:hAnsi="Times New Roman"/>
      <w:color w:val="00000A"/>
      <w:sz w:val="24"/>
      <w:szCs w:val="24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Верхний колонтитул Знак"/>
    <w:basedOn w:val="style15"/>
    <w:next w:val="style16"/>
    <w:rPr>
      <w:rFonts w:ascii="Times New Roman" w:cs="Times New Roman" w:eastAsia="Times New Roman" w:hAnsi="Times New Roman"/>
      <w:sz w:val="24"/>
      <w:szCs w:val="24"/>
      <w:lang w:eastAsia="ru-RU"/>
    </w:rPr>
  </w:style>
  <w:style w:styleId="style17" w:type="character">
    <w:name w:val="page number"/>
    <w:next w:val="style17"/>
    <w:rPr>
      <w:rFonts w:cs="Times New Roman"/>
    </w:rPr>
  </w:style>
  <w:style w:styleId="style18" w:type="character">
    <w:name w:val="Текст выноски Знак"/>
    <w:basedOn w:val="style15"/>
    <w:next w:val="style18"/>
    <w:rPr>
      <w:rFonts w:ascii="Tahoma" w:cs="Tahoma" w:eastAsia="Times New Roman" w:hAnsi="Tahoma"/>
      <w:sz w:val="16"/>
      <w:szCs w:val="16"/>
      <w:lang w:eastAsia="ru-RU"/>
    </w:rPr>
  </w:style>
  <w:style w:styleId="style19" w:type="paragraph">
    <w:name w:val="Заголовок"/>
    <w:basedOn w:val="style0"/>
    <w:next w:val="style20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0" w:type="paragraph">
    <w:name w:val="Основной текст"/>
    <w:basedOn w:val="style0"/>
    <w:next w:val="style20"/>
    <w:pPr>
      <w:spacing w:after="120" w:before="0"/>
      <w:contextualSpacing w:val="false"/>
    </w:pPr>
    <w:rPr/>
  </w:style>
  <w:style w:styleId="style21" w:type="paragraph">
    <w:name w:val="Список"/>
    <w:basedOn w:val="style0"/>
    <w:next w:val="style21"/>
    <w:pPr>
      <w:ind w:hanging="283" w:left="283" w:right="0"/>
    </w:pPr>
    <w:rPr>
      <w:rFonts w:cs="Mangal"/>
      <w:sz w:val="28"/>
      <w:szCs w:val="20"/>
    </w:rPr>
  </w:style>
  <w:style w:styleId="style22" w:type="paragraph">
    <w:name w:val="Название"/>
    <w:basedOn w:val="style0"/>
    <w:next w:val="style22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3" w:type="paragraph">
    <w:name w:val="Указатель"/>
    <w:basedOn w:val="style0"/>
    <w:next w:val="style23"/>
    <w:pPr>
      <w:suppressLineNumbers/>
    </w:pPr>
    <w:rPr>
      <w:rFonts w:cs="Mangal"/>
    </w:rPr>
  </w:style>
  <w:style w:styleId="style24" w:type="paragraph">
    <w:name w:val="Верхний колонтитул"/>
    <w:basedOn w:val="style0"/>
    <w:next w:val="style24"/>
    <w:pPr>
      <w:suppressLineNumbers/>
      <w:tabs>
        <w:tab w:leader="none" w:pos="4677" w:val="center"/>
        <w:tab w:leader="none" w:pos="9355" w:val="right"/>
      </w:tabs>
    </w:pPr>
    <w:rPr/>
  </w:style>
  <w:style w:styleId="style25" w:type="paragraph">
    <w:name w:val="Balloon Text"/>
    <w:basedOn w:val="style0"/>
    <w:next w:val="style25"/>
    <w:pPr/>
    <w:rPr>
      <w:rFonts w:ascii="Tahoma" w:cs="Tahoma" w:hAnsi="Tahoma"/>
      <w:sz w:val="16"/>
      <w:szCs w:val="16"/>
    </w:rPr>
  </w:style>
  <w:style w:styleId="style26" w:type="paragraph">
    <w:name w:val="Содержимое врезки"/>
    <w:basedOn w:val="style20"/>
    <w:next w:val="style2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Application>LibreOffice/3.6$Windows_x86 LibreOffice_project/e183d5b-f8ccaf6-3804794-95b4be8-895629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2014-12-10T14:20:00.00Z</dcterms:created>
  <dc:creator>1</dc:creator>
  <cp:lastModifiedBy>1</cp:lastModifiedBy>
  <cp:lastPrinted>2016-09-07T11:04:08.17Z</cp:lastPrinted>
  <dcterms:modified xsi:type="dcterms:W3CDTF">2016-09-02T07:57:00.00Z</dcterms:modified>
  <cp:revision>10</cp:revision>
</cp:coreProperties>
</file>